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Приказ Минтруда России № 771н от 29 октября 2021 г.</w:t>
      </w:r>
    </w:p>
    <w:p>
      <w:pPr>
        <w:pStyle w:val="Heading2"/>
        <w:rPr/>
      </w:pPr>
      <w:r>
        <w:rPr/>
        <w:t>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</w:p>
    <w:p>
      <w:pPr>
        <w:pStyle w:val="TextBody"/>
        <w:rPr/>
      </w:pPr>
      <w:r>
        <w:rPr/>
        <w:t>В соответствии с частью третьей статьи 225 Трудового кодекса Российской Федерации (Собрание законодательства Российской Федерации, 2002, № 1, ст. 3; 2021, № 27, ст. 5139) и подпунктом 5.2.20 пункта 5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№ 610 (Собрание законодательства Российской Федерации, 2012, № 26, ст. 3528; 2021, № 42, ст. 7120), п р и к а з ы в а ю: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Утвердить Примерный перечень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 согласно приложению.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Признать утратившими силу: </w:t>
      </w:r>
    </w:p>
    <w:p>
      <w:pPr>
        <w:pStyle w:val="TextBody"/>
        <w:rPr/>
      </w:pPr>
      <w:r>
        <w:rPr/>
        <w:t>приказ Министерства здравоохранения и социального развития Российской Федерации от 1 марта 2012 г. № 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 (зарегистрирован Министерством юстиции Российской Федерации 19 марта 2012 г., регистрационный № 23513);</w:t>
      </w:r>
    </w:p>
    <w:p>
      <w:pPr>
        <w:pStyle w:val="TextBody"/>
        <w:rPr/>
      </w:pPr>
      <w:r>
        <w:rPr/>
        <w:t>пункт 24 Изменений, вносимых в нормативные правовые акты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Федерации, утвержденных приказом Министерства труда и социальной защиты Российской Федерации от 20 февраля 2014 г. № 103н (зарегистрирован Министерством юстиции Российской Федерации 15 мая 2014 г., регистрационный № 32284);</w:t>
      </w:r>
    </w:p>
    <w:p>
      <w:pPr>
        <w:pStyle w:val="TextBody"/>
        <w:rPr/>
      </w:pPr>
      <w:r>
        <w:rPr/>
        <w:t>приказ Министерства труда и социальной защиты Российской Федерации от 16 июня 2014 г. № 375н «О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рисков» (зарегистрирован Министерством юстиции Российской Федерации 20 июня 2014 г., регистрационный № 32818).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 xml:space="preserve">Установить, что настоящий приказ вступает в силу с 1 марта 2022 года. </w:t>
      </w:r>
    </w:p>
    <w:p>
      <w:pPr>
        <w:pStyle w:val="TextBody"/>
        <w:rPr/>
      </w:pPr>
      <w:r>
        <w:rPr/>
        <w:t> </w:t>
      </w:r>
    </w:p>
    <w:p>
      <w:pPr>
        <w:pStyle w:val="TextBody"/>
        <w:spacing w:before="0" w:after="283"/>
        <w:rPr/>
      </w:pPr>
      <w:r>
        <w:rPr>
          <w:rStyle w:val="StrongEmphasis"/>
        </w:rPr>
        <w:t>Министр  А.О. Котяков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NumberingSymbols">
    <w:name w:val="Numbering Symbols"/>
    <w:qFormat/>
    <w:rPr/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